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FC0" w:rsidRPr="00894CAA" w:rsidRDefault="00501FC0" w:rsidP="00894CAA">
      <w:pPr>
        <w:jc w:val="center"/>
        <w:rPr>
          <w:b/>
          <w:color w:val="2F5496" w:themeColor="accent5" w:themeShade="BF"/>
          <w:sz w:val="28"/>
          <w:szCs w:val="24"/>
        </w:rPr>
      </w:pPr>
      <w:r w:rsidRPr="00894CAA">
        <w:rPr>
          <w:b/>
          <w:color w:val="2F5496" w:themeColor="accent5" w:themeShade="BF"/>
          <w:sz w:val="28"/>
          <w:szCs w:val="24"/>
        </w:rPr>
        <w:t>CR Commission de suivi CCN</w:t>
      </w:r>
    </w:p>
    <w:p w:rsidR="00501FC0" w:rsidRPr="00894CAA" w:rsidRDefault="00894CAA" w:rsidP="00894CAA">
      <w:pPr>
        <w:pStyle w:val="Paragraphedeliste"/>
        <w:numPr>
          <w:ilvl w:val="0"/>
          <w:numId w:val="9"/>
        </w:numPr>
        <w:pBdr>
          <w:bottom w:val="single" w:sz="4" w:space="1" w:color="auto"/>
        </w:pBdr>
        <w:jc w:val="center"/>
        <w:rPr>
          <w:b/>
          <w:color w:val="2F5496" w:themeColor="accent5" w:themeShade="BF"/>
          <w:sz w:val="28"/>
          <w:szCs w:val="24"/>
        </w:rPr>
      </w:pPr>
      <w:r>
        <w:rPr>
          <w:b/>
          <w:color w:val="2F5496" w:themeColor="accent5" w:themeShade="BF"/>
          <w:sz w:val="28"/>
          <w:szCs w:val="24"/>
        </w:rPr>
        <w:t xml:space="preserve">Avril </w:t>
      </w:r>
      <w:r w:rsidR="00501FC0" w:rsidRPr="00894CAA">
        <w:rPr>
          <w:b/>
          <w:color w:val="2F5496" w:themeColor="accent5" w:themeShade="BF"/>
          <w:sz w:val="28"/>
          <w:szCs w:val="24"/>
        </w:rPr>
        <w:t>2019</w:t>
      </w:r>
      <w:r w:rsidR="009B1F35">
        <w:rPr>
          <w:b/>
          <w:color w:val="2F5496" w:themeColor="accent5" w:themeShade="BF"/>
          <w:sz w:val="28"/>
          <w:szCs w:val="24"/>
        </w:rPr>
        <w:t xml:space="preserve"> </w:t>
      </w:r>
    </w:p>
    <w:p w:rsidR="00894CAA" w:rsidRDefault="00894CAA" w:rsidP="00894CAA">
      <w:pPr>
        <w:spacing w:after="0" w:line="240" w:lineRule="auto"/>
        <w:jc w:val="both"/>
        <w:rPr>
          <w:rFonts w:eastAsia="Times New Roman" w:cs="Times New Roman"/>
          <w:b/>
          <w:color w:val="808080" w:themeColor="background1" w:themeShade="80"/>
          <w:lang w:eastAsia="fr-FR"/>
        </w:rPr>
      </w:pPr>
    </w:p>
    <w:p w:rsidR="00894CAA" w:rsidRPr="002425AA" w:rsidRDefault="00894CAA" w:rsidP="00894CAA">
      <w:pPr>
        <w:spacing w:after="0" w:line="240" w:lineRule="auto"/>
        <w:jc w:val="both"/>
        <w:rPr>
          <w:rFonts w:eastAsia="Times New Roman" w:cs="Times New Roman"/>
          <w:b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b/>
          <w:color w:val="808080" w:themeColor="background1" w:themeShade="80"/>
          <w:sz w:val="24"/>
          <w:lang w:eastAsia="fr-FR"/>
        </w:rPr>
        <w:t>Rappel sur le cadre de la commission de suivi de la CCN :</w:t>
      </w:r>
    </w:p>
    <w:p w:rsidR="00894CAA" w:rsidRPr="002425AA" w:rsidRDefault="00894CAA" w:rsidP="00894CAA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Moins d’un an après sa mise en œuvre, l’heure n’est pas à la réécriture du texte mais bien à son interprétation partagée afin de faciliter la mise en œuvre cohérente de l’ensemble des mesures.</w:t>
      </w:r>
    </w:p>
    <w:p w:rsidR="00894CAA" w:rsidRPr="002425AA" w:rsidRDefault="00894CAA" w:rsidP="00894CAA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Dans ce cadre, l’objectif est d’aboutir le 19 juin prochain, à la rédaction d’un avenant interprétatif.</w:t>
      </w:r>
    </w:p>
    <w:p w:rsidR="00894CAA" w:rsidRPr="002425AA" w:rsidRDefault="00894CAA" w:rsidP="00894CAA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</w:p>
    <w:p w:rsidR="00501FC0" w:rsidRPr="002425AA" w:rsidRDefault="00501FC0" w:rsidP="00894CAA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Pour être pourvu d’un caractère interprétatif, l’avenant à </w:t>
      </w:r>
      <w:r w:rsidR="00F62739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la convention collective </w:t>
      </w: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:</w:t>
      </w:r>
    </w:p>
    <w:p w:rsidR="00EF588B" w:rsidRPr="002425AA" w:rsidRDefault="00894CAA" w:rsidP="00894CA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Doit</w:t>
      </w:r>
      <w:r w:rsidR="00501FC0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 clarifier une disposition co</w:t>
      </w:r>
      <w:r w:rsidR="00100627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nventionnelle sans la modifier</w:t>
      </w:r>
      <w:r w:rsidR="00501FC0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,</w:t>
      </w:r>
    </w:p>
    <w:p w:rsidR="00501FC0" w:rsidRPr="002425AA" w:rsidRDefault="00894CAA" w:rsidP="00894CAA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Doit</w:t>
      </w:r>
      <w:r w:rsidR="00501FC0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 se borner à reconnaître, sans rien innover, un état de droit préexistant qu’une définition imparfaite a rendu susceptible de controverse. </w:t>
      </w:r>
    </w:p>
    <w:p w:rsidR="00894CAA" w:rsidRPr="002425AA" w:rsidRDefault="00501FC0" w:rsidP="00894CAA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Il doit en outre être signé par l’ensemble des syndicats signataires de l’accord faisan</w:t>
      </w:r>
      <w:r w:rsidR="00100627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t l’objet d’une interprétation</w:t>
      </w: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. </w:t>
      </w:r>
      <w:r w:rsidR="00F62739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En l’espèce </w:t>
      </w:r>
      <w:r w:rsidR="00894CAA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la </w:t>
      </w:r>
      <w:r w:rsidR="00F62739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CFTC, </w:t>
      </w:r>
      <w:r w:rsidR="00894CAA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la </w:t>
      </w:r>
      <w:r w:rsidR="00F62739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CFDT, </w:t>
      </w:r>
      <w:r w:rsidR="00894CAA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EFA-</w:t>
      </w:r>
      <w:r w:rsidR="00F62739"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CGC.</w:t>
      </w:r>
    </w:p>
    <w:p w:rsidR="00501FC0" w:rsidRPr="002425AA" w:rsidRDefault="00501FC0" w:rsidP="00894CAA">
      <w:pPr>
        <w:spacing w:after="0" w:line="240" w:lineRule="auto"/>
        <w:jc w:val="both"/>
        <w:rPr>
          <w:rFonts w:eastAsia="Times New Roman" w:cs="Times New Roman"/>
          <w:color w:val="808080" w:themeColor="background1" w:themeShade="80"/>
          <w:sz w:val="24"/>
          <w:lang w:eastAsia="fr-FR"/>
        </w:rPr>
      </w:pP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Dès lors qu’il remplit ces conditions, la jurisprudence précise que « </w:t>
      </w:r>
      <w:r w:rsidRPr="002425AA">
        <w:rPr>
          <w:rFonts w:eastAsia="Times New Roman" w:cs="Times New Roman"/>
          <w:iCs/>
          <w:color w:val="808080" w:themeColor="background1" w:themeShade="80"/>
          <w:sz w:val="24"/>
          <w:lang w:eastAsia="fr-FR"/>
        </w:rPr>
        <w:t xml:space="preserve">l’avenant interprétatif d’un accord collectif signé par l’ensemble des parties à l’accord initial s’impose avec effet rétroactif à la date d’entrée en vigueur de ce dernier accord aussi bien à l’employeur et aux salariés qu’au juge qui ne peut en écarter l’application </w:t>
      </w:r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» (</w:t>
      </w:r>
      <w:proofErr w:type="spellStart"/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>Cass</w:t>
      </w:r>
      <w:proofErr w:type="spellEnd"/>
      <w:r w:rsidRPr="002425AA">
        <w:rPr>
          <w:rFonts w:eastAsia="Times New Roman" w:cs="Times New Roman"/>
          <w:color w:val="808080" w:themeColor="background1" w:themeShade="80"/>
          <w:sz w:val="24"/>
          <w:lang w:eastAsia="fr-FR"/>
        </w:rPr>
        <w:t xml:space="preserve">. Soc., 1er décembre 1998, n° 98-40.104). </w:t>
      </w:r>
    </w:p>
    <w:p w:rsidR="00894CAA" w:rsidRDefault="00894CAA" w:rsidP="00894CAA">
      <w:pPr>
        <w:pBdr>
          <w:bottom w:val="single" w:sz="6" w:space="1" w:color="auto"/>
        </w:pBdr>
        <w:jc w:val="both"/>
      </w:pPr>
    </w:p>
    <w:p w:rsidR="00894CAA" w:rsidRDefault="00894CAA" w:rsidP="00894CAA">
      <w:pPr>
        <w:jc w:val="both"/>
      </w:pPr>
    </w:p>
    <w:p w:rsidR="00501FC0" w:rsidRPr="002425AA" w:rsidRDefault="00894CAA" w:rsidP="00894CAA">
      <w:pPr>
        <w:jc w:val="both"/>
        <w:rPr>
          <w:b/>
          <w:sz w:val="24"/>
          <w:u w:val="single"/>
        </w:rPr>
      </w:pPr>
      <w:r w:rsidRPr="002425AA">
        <w:rPr>
          <w:b/>
          <w:sz w:val="24"/>
          <w:u w:val="single"/>
        </w:rPr>
        <w:t>A ce stade, l</w:t>
      </w:r>
      <w:r w:rsidR="00100627" w:rsidRPr="002425AA">
        <w:rPr>
          <w:b/>
          <w:sz w:val="24"/>
          <w:u w:val="single"/>
        </w:rPr>
        <w:t>es articles suivants f</w:t>
      </w:r>
      <w:r w:rsidRPr="002425AA">
        <w:rPr>
          <w:b/>
          <w:sz w:val="24"/>
          <w:u w:val="single"/>
        </w:rPr>
        <w:t>er</w:t>
      </w:r>
      <w:r w:rsidR="00100627" w:rsidRPr="002425AA">
        <w:rPr>
          <w:b/>
          <w:sz w:val="24"/>
          <w:u w:val="single"/>
        </w:rPr>
        <w:t>ont l’objet de clarifications</w:t>
      </w:r>
      <w:r w:rsidRPr="002425AA">
        <w:rPr>
          <w:b/>
          <w:sz w:val="24"/>
          <w:u w:val="single"/>
        </w:rPr>
        <w:t xml:space="preserve"> dans l’avenant interprétatif</w:t>
      </w:r>
      <w:r w:rsidR="00100627" w:rsidRPr="002425AA">
        <w:rPr>
          <w:b/>
          <w:sz w:val="24"/>
          <w:u w:val="single"/>
        </w:rPr>
        <w:t> :</w:t>
      </w:r>
    </w:p>
    <w:p w:rsidR="00894CAA" w:rsidRPr="00894CAA" w:rsidRDefault="00894CAA" w:rsidP="00894CAA">
      <w:pPr>
        <w:jc w:val="both"/>
        <w:rPr>
          <w:b/>
          <w:u w:val="single"/>
        </w:rPr>
      </w:pPr>
    </w:p>
    <w:p w:rsidR="00F62739" w:rsidRPr="002425AA" w:rsidRDefault="00F62739" w:rsidP="00894CAA">
      <w:pPr>
        <w:tabs>
          <w:tab w:val="left" w:pos="1418"/>
        </w:tabs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2F5496" w:themeColor="accent5" w:themeShade="BF"/>
          <w:sz w:val="24"/>
        </w:rPr>
      </w:pPr>
      <w:bookmarkStart w:id="0" w:name="_Toc514170094"/>
      <w:r w:rsidRPr="002425AA">
        <w:rPr>
          <w:rFonts w:ascii="Calibri" w:eastAsia="Times New Roman" w:hAnsi="Calibri" w:cs="Times New Roman"/>
          <w:b/>
          <w:bCs/>
          <w:color w:val="2F5496" w:themeColor="accent5" w:themeShade="BF"/>
          <w:sz w:val="24"/>
        </w:rPr>
        <w:t>Article 12 </w:t>
      </w:r>
      <w:r w:rsidR="00CD2775" w:rsidRPr="002425AA">
        <w:rPr>
          <w:rFonts w:ascii="Calibri" w:eastAsia="Times New Roman" w:hAnsi="Calibri" w:cs="Times New Roman"/>
          <w:b/>
          <w:bCs/>
          <w:color w:val="2F5496" w:themeColor="accent5" w:themeShade="BF"/>
          <w:sz w:val="24"/>
        </w:rPr>
        <w:t xml:space="preserve">– </w:t>
      </w:r>
      <w:r w:rsidRPr="002425AA">
        <w:rPr>
          <w:rFonts w:ascii="Calibri" w:eastAsia="Times New Roman" w:hAnsi="Calibri" w:cs="Times New Roman"/>
          <w:b/>
          <w:bCs/>
          <w:color w:val="2F5496" w:themeColor="accent5" w:themeShade="BF"/>
          <w:sz w:val="24"/>
        </w:rPr>
        <w:t>La mobilité interne des salariés de l’ONF</w:t>
      </w:r>
      <w:bookmarkEnd w:id="0"/>
    </w:p>
    <w:p w:rsidR="00F62739" w:rsidRPr="002425AA" w:rsidRDefault="00F62739" w:rsidP="00894CAA">
      <w:pPr>
        <w:spacing w:after="0" w:line="240" w:lineRule="auto"/>
        <w:jc w:val="both"/>
        <w:rPr>
          <w:b/>
          <w:sz w:val="24"/>
        </w:rPr>
      </w:pPr>
    </w:p>
    <w:p w:rsidR="00501FC0" w:rsidRPr="002425AA" w:rsidRDefault="00894CAA" w:rsidP="00894CAA">
      <w:pPr>
        <w:spacing w:after="0" w:line="240" w:lineRule="auto"/>
        <w:jc w:val="both"/>
        <w:rPr>
          <w:sz w:val="24"/>
        </w:rPr>
      </w:pPr>
      <w:r w:rsidRPr="002425AA">
        <w:rPr>
          <w:sz w:val="24"/>
        </w:rPr>
        <w:t>C</w:t>
      </w:r>
      <w:r w:rsidR="00501FC0" w:rsidRPr="002425AA">
        <w:rPr>
          <w:sz w:val="24"/>
        </w:rPr>
        <w:t xml:space="preserve">ompléter </w:t>
      </w:r>
      <w:r w:rsidR="00F62739" w:rsidRPr="002425AA">
        <w:rPr>
          <w:sz w:val="24"/>
        </w:rPr>
        <w:t>l’</w:t>
      </w:r>
      <w:r w:rsidR="00501FC0" w:rsidRPr="002425AA">
        <w:rPr>
          <w:sz w:val="24"/>
        </w:rPr>
        <w:t>art</w:t>
      </w:r>
      <w:r w:rsidR="00F62739" w:rsidRPr="002425AA">
        <w:rPr>
          <w:sz w:val="24"/>
        </w:rPr>
        <w:t>icle</w:t>
      </w:r>
      <w:r w:rsidR="00501FC0" w:rsidRPr="002425AA">
        <w:rPr>
          <w:sz w:val="24"/>
        </w:rPr>
        <w:t xml:space="preserve"> 12</w:t>
      </w:r>
      <w:r w:rsidR="00445E2E" w:rsidRPr="002425AA">
        <w:rPr>
          <w:sz w:val="24"/>
        </w:rPr>
        <w:t xml:space="preserve"> par </w:t>
      </w:r>
      <w:r w:rsidRPr="002425AA">
        <w:rPr>
          <w:sz w:val="24"/>
        </w:rPr>
        <w:t>: « </w:t>
      </w:r>
      <w:r w:rsidR="00501FC0" w:rsidRPr="002425AA">
        <w:rPr>
          <w:sz w:val="24"/>
        </w:rPr>
        <w:t xml:space="preserve">Les Représentants du Personnels peuvent </w:t>
      </w:r>
      <w:r w:rsidR="002425AA" w:rsidRPr="002425AA">
        <w:rPr>
          <w:sz w:val="24"/>
        </w:rPr>
        <w:t>alerter</w:t>
      </w:r>
      <w:r w:rsidR="00501FC0" w:rsidRPr="002425AA">
        <w:rPr>
          <w:sz w:val="24"/>
        </w:rPr>
        <w:t xml:space="preserve"> les services RH DT/DR à des situations particulières telles q</w:t>
      </w:r>
      <w:r w:rsidR="00F62739" w:rsidRPr="002425AA">
        <w:rPr>
          <w:sz w:val="24"/>
        </w:rPr>
        <w:t>ue mentionnées dans l’article 12</w:t>
      </w:r>
      <w:r w:rsidR="00501FC0" w:rsidRPr="002425AA">
        <w:rPr>
          <w:sz w:val="24"/>
        </w:rPr>
        <w:t>. »</w:t>
      </w:r>
    </w:p>
    <w:p w:rsidR="00E80BB8" w:rsidRPr="002425AA" w:rsidRDefault="00E80BB8" w:rsidP="00894CA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2F5496" w:themeColor="accent5" w:themeShade="BF"/>
          <w:sz w:val="24"/>
        </w:rPr>
      </w:pPr>
    </w:p>
    <w:p w:rsidR="00E80BB8" w:rsidRPr="002425AA" w:rsidRDefault="00E80BB8" w:rsidP="00894CA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/>
          <w:color w:val="2F5496" w:themeColor="accent5" w:themeShade="BF"/>
          <w:sz w:val="24"/>
        </w:rPr>
      </w:pPr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 xml:space="preserve">Article 20.3.1 </w:t>
      </w:r>
      <w:r w:rsidRPr="002425AA">
        <w:rPr>
          <w:b/>
          <w:color w:val="2F5496" w:themeColor="accent5" w:themeShade="BF"/>
          <w:sz w:val="24"/>
        </w:rPr>
        <w:t>Rémunération des apprentis :</w:t>
      </w:r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ab/>
        <w:t xml:space="preserve"> </w:t>
      </w:r>
    </w:p>
    <w:p w:rsidR="00894CAA" w:rsidRPr="002425AA" w:rsidRDefault="00894CAA" w:rsidP="00894CAA">
      <w:pPr>
        <w:spacing w:after="0" w:line="240" w:lineRule="auto"/>
        <w:jc w:val="both"/>
        <w:rPr>
          <w:b/>
          <w:sz w:val="24"/>
        </w:rPr>
      </w:pPr>
    </w:p>
    <w:p w:rsidR="00E80BB8" w:rsidRPr="002425AA" w:rsidRDefault="00894CAA" w:rsidP="00894CAA">
      <w:pPr>
        <w:spacing w:after="0" w:line="240" w:lineRule="auto"/>
        <w:jc w:val="both"/>
        <w:rPr>
          <w:sz w:val="24"/>
        </w:rPr>
      </w:pPr>
      <w:r w:rsidRPr="002425AA">
        <w:rPr>
          <w:sz w:val="24"/>
        </w:rPr>
        <w:t>C</w:t>
      </w:r>
      <w:r w:rsidR="00E80BB8" w:rsidRPr="002425AA">
        <w:rPr>
          <w:sz w:val="24"/>
        </w:rPr>
        <w:t>ompléter en indiquant qu’il sera tenu compte des évolutions réglementaires.</w:t>
      </w:r>
    </w:p>
    <w:p w:rsidR="00A204E5" w:rsidRPr="002425AA" w:rsidRDefault="00A204E5" w:rsidP="00894CAA">
      <w:pPr>
        <w:spacing w:after="0" w:line="240" w:lineRule="auto"/>
        <w:jc w:val="both"/>
        <w:rPr>
          <w:b/>
          <w:sz w:val="24"/>
        </w:rPr>
      </w:pPr>
    </w:p>
    <w:p w:rsidR="00445E2E" w:rsidRPr="002425AA" w:rsidRDefault="00445E2E" w:rsidP="00894CAA">
      <w:pPr>
        <w:jc w:val="both"/>
        <w:rPr>
          <w:b/>
          <w:color w:val="2F5496" w:themeColor="accent5" w:themeShade="BF"/>
          <w:sz w:val="24"/>
        </w:rPr>
      </w:pPr>
      <w:r w:rsidRPr="002425AA">
        <w:rPr>
          <w:b/>
          <w:color w:val="2F5496" w:themeColor="accent5" w:themeShade="BF"/>
          <w:sz w:val="24"/>
        </w:rPr>
        <w:t>Article 21 – Prime d’ancienneté :</w:t>
      </w:r>
    </w:p>
    <w:p w:rsidR="00445E2E" w:rsidRPr="002425AA" w:rsidRDefault="00894CAA" w:rsidP="00894CAA">
      <w:pPr>
        <w:jc w:val="both"/>
        <w:rPr>
          <w:sz w:val="24"/>
        </w:rPr>
      </w:pPr>
      <w:r w:rsidRPr="002425AA">
        <w:rPr>
          <w:sz w:val="24"/>
        </w:rPr>
        <w:t>Préciser que l</w:t>
      </w:r>
      <w:r w:rsidR="00DE55BF" w:rsidRPr="002425AA">
        <w:rPr>
          <w:sz w:val="24"/>
        </w:rPr>
        <w:t>es salariés à temps partiel</w:t>
      </w:r>
      <w:r w:rsidR="00CE051E" w:rsidRPr="002425AA">
        <w:rPr>
          <w:sz w:val="24"/>
        </w:rPr>
        <w:t>,</w:t>
      </w:r>
      <w:r w:rsidR="00DE55BF" w:rsidRPr="002425AA">
        <w:rPr>
          <w:sz w:val="24"/>
        </w:rPr>
        <w:t xml:space="preserve"> dont la quotité de travail est égale à 80% et </w:t>
      </w:r>
      <w:r w:rsidRPr="002425AA">
        <w:rPr>
          <w:sz w:val="24"/>
        </w:rPr>
        <w:t>plus, percevront</w:t>
      </w:r>
      <w:r w:rsidR="00DE55BF" w:rsidRPr="002425AA">
        <w:rPr>
          <w:sz w:val="24"/>
        </w:rPr>
        <w:t xml:space="preserve"> </w:t>
      </w:r>
      <w:r w:rsidRPr="002425AA">
        <w:rPr>
          <w:sz w:val="24"/>
        </w:rPr>
        <w:t>une prime</w:t>
      </w:r>
      <w:r w:rsidR="00445E2E" w:rsidRPr="002425AA">
        <w:rPr>
          <w:sz w:val="24"/>
        </w:rPr>
        <w:t xml:space="preserve"> d’ancienneté </w:t>
      </w:r>
      <w:r w:rsidR="00CE051E" w:rsidRPr="002425AA">
        <w:rPr>
          <w:sz w:val="24"/>
        </w:rPr>
        <w:t xml:space="preserve">dont le montant est égal </w:t>
      </w:r>
      <w:r w:rsidR="00DE55BF" w:rsidRPr="002425AA">
        <w:rPr>
          <w:sz w:val="24"/>
        </w:rPr>
        <w:t>à 100%</w:t>
      </w:r>
      <w:r w:rsidR="00CE051E" w:rsidRPr="002425AA">
        <w:rPr>
          <w:sz w:val="24"/>
        </w:rPr>
        <w:t>.</w:t>
      </w:r>
    </w:p>
    <w:p w:rsidR="009B1F35" w:rsidRPr="002425AA" w:rsidRDefault="009B1F35" w:rsidP="009B1F35">
      <w:pPr>
        <w:jc w:val="both"/>
        <w:rPr>
          <w:b/>
          <w:color w:val="2F5496" w:themeColor="accent5" w:themeShade="BF"/>
          <w:sz w:val="24"/>
        </w:rPr>
      </w:pPr>
      <w:bookmarkStart w:id="1" w:name="_Toc481070247"/>
      <w:bookmarkStart w:id="2" w:name="_Toc514170144"/>
      <w:r w:rsidRPr="002425AA">
        <w:rPr>
          <w:b/>
          <w:color w:val="2F5496" w:themeColor="accent5" w:themeShade="BF"/>
          <w:sz w:val="24"/>
        </w:rPr>
        <w:t xml:space="preserve">24.1 </w:t>
      </w:r>
      <w:r w:rsidRPr="002425AA">
        <w:rPr>
          <w:b/>
          <w:color w:val="2F5496" w:themeColor="accent5" w:themeShade="BF"/>
          <w:sz w:val="24"/>
        </w:rPr>
        <w:tab/>
        <w:t>L’indemnité de panier :</w:t>
      </w:r>
      <w:bookmarkEnd w:id="1"/>
      <w:bookmarkEnd w:id="2"/>
    </w:p>
    <w:p w:rsidR="009B1F35" w:rsidRPr="002425AA" w:rsidRDefault="009B1F35" w:rsidP="009B1F35">
      <w:pPr>
        <w:jc w:val="both"/>
        <w:rPr>
          <w:sz w:val="24"/>
        </w:rPr>
      </w:pPr>
      <w:r w:rsidRPr="002425AA">
        <w:rPr>
          <w:sz w:val="24"/>
        </w:rPr>
        <w:t>2 MG pour tous les salariés qui sont en déplacement en dehors de leur lieu de travail.</w:t>
      </w:r>
    </w:p>
    <w:p w:rsidR="009B1F35" w:rsidRDefault="009B1F35" w:rsidP="009B1F35">
      <w:pPr>
        <w:jc w:val="both"/>
        <w:rPr>
          <w:sz w:val="24"/>
        </w:rPr>
      </w:pPr>
      <w:r w:rsidRPr="002425AA">
        <w:rPr>
          <w:sz w:val="24"/>
        </w:rPr>
        <w:t>Rappel de l’échange : ne pas limiter aux CTX, ouvr</w:t>
      </w:r>
      <w:r w:rsidR="002425AA" w:rsidRPr="002425AA">
        <w:rPr>
          <w:sz w:val="24"/>
        </w:rPr>
        <w:t>ir aux TFT, TSST, Commerciaux</w:t>
      </w:r>
    </w:p>
    <w:p w:rsidR="002425AA" w:rsidRPr="002425AA" w:rsidRDefault="002425AA" w:rsidP="009B1F35">
      <w:pPr>
        <w:jc w:val="both"/>
        <w:rPr>
          <w:sz w:val="24"/>
        </w:rPr>
      </w:pPr>
      <w:bookmarkStart w:id="3" w:name="_GoBack"/>
      <w:bookmarkEnd w:id="3"/>
    </w:p>
    <w:p w:rsidR="00CD2775" w:rsidRPr="002425AA" w:rsidRDefault="00100627" w:rsidP="00894CAA">
      <w:pPr>
        <w:tabs>
          <w:tab w:val="left" w:pos="567"/>
        </w:tabs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color w:val="2F5496" w:themeColor="accent5" w:themeShade="BF"/>
          <w:sz w:val="24"/>
        </w:rPr>
      </w:pPr>
      <w:bookmarkStart w:id="4" w:name="_Toc481070260"/>
      <w:bookmarkStart w:id="5" w:name="_Toc514170148"/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lastRenderedPageBreak/>
        <w:t xml:space="preserve">Article </w:t>
      </w:r>
      <w:r w:rsidR="00894CAA"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 xml:space="preserve">25.2 - </w:t>
      </w:r>
      <w:r w:rsidR="00CD2775"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>L’indemnisation des grands déplacements</w:t>
      </w:r>
      <w:bookmarkEnd w:id="4"/>
      <w:bookmarkEnd w:id="5"/>
    </w:p>
    <w:p w:rsidR="00CD2775" w:rsidRPr="002425AA" w:rsidRDefault="00100627" w:rsidP="00894CAA">
      <w:pPr>
        <w:tabs>
          <w:tab w:val="left" w:pos="567"/>
        </w:tabs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color w:val="2F5496" w:themeColor="accent5" w:themeShade="BF"/>
          <w:sz w:val="24"/>
        </w:rPr>
      </w:pPr>
      <w:bookmarkStart w:id="6" w:name="_Toc481070264"/>
      <w:bookmarkStart w:id="7" w:name="_Toc514170152"/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 xml:space="preserve">Article </w:t>
      </w:r>
      <w:r w:rsidR="00894CAA"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 xml:space="preserve">25.2.4 - </w:t>
      </w:r>
      <w:r w:rsidR="00CD2775"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>L’indemnité de repas :</w:t>
      </w:r>
      <w:bookmarkEnd w:id="6"/>
      <w:bookmarkEnd w:id="7"/>
    </w:p>
    <w:p w:rsidR="00445E2E" w:rsidRPr="002425AA" w:rsidRDefault="00445E2E" w:rsidP="00894CA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</w:p>
    <w:p w:rsidR="00100627" w:rsidRPr="002425AA" w:rsidRDefault="00100627" w:rsidP="00894CAA">
      <w:pPr>
        <w:tabs>
          <w:tab w:val="left" w:pos="851"/>
        </w:tabs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lang w:eastAsia="fr-FR"/>
        </w:rPr>
      </w:pPr>
      <w:r w:rsidRPr="002425AA">
        <w:rPr>
          <w:rFonts w:ascii="Calibri" w:eastAsia="Times New Roman" w:hAnsi="Calibri" w:cs="Times New Roman"/>
          <w:bCs/>
          <w:sz w:val="24"/>
          <w:lang w:eastAsia="fr-FR"/>
        </w:rPr>
        <w:t xml:space="preserve">Le montant, </w:t>
      </w:r>
      <w:r w:rsidRPr="002425AA">
        <w:rPr>
          <w:rFonts w:ascii="Calibri" w:eastAsia="Times New Roman" w:hAnsi="Calibri" w:cs="Times New Roman"/>
          <w:sz w:val="24"/>
          <w:lang w:eastAsia="fr-FR"/>
        </w:rPr>
        <w:t>en cas de non prise en charge par l’ONF, est fixé à 5 MG par repas.</w:t>
      </w:r>
    </w:p>
    <w:p w:rsidR="00894CAA" w:rsidRPr="002425AA" w:rsidRDefault="00894CAA" w:rsidP="00894CAA">
      <w:pPr>
        <w:jc w:val="both"/>
        <w:rPr>
          <w:sz w:val="24"/>
        </w:rPr>
      </w:pPr>
      <w:r w:rsidRPr="002425AA">
        <w:rPr>
          <w:sz w:val="24"/>
        </w:rPr>
        <w:t>Préciser que l</w:t>
      </w:r>
      <w:r w:rsidR="00100627" w:rsidRPr="002425AA">
        <w:rPr>
          <w:sz w:val="24"/>
        </w:rPr>
        <w:t xml:space="preserve">e taux à 5 MG concerne </w:t>
      </w:r>
      <w:r w:rsidR="00445E2E" w:rsidRPr="002425AA">
        <w:rPr>
          <w:sz w:val="24"/>
        </w:rPr>
        <w:t xml:space="preserve">uniquement les repas du soir, ce </w:t>
      </w:r>
      <w:r w:rsidRPr="002425AA">
        <w:rPr>
          <w:sz w:val="24"/>
        </w:rPr>
        <w:t>taux sera</w:t>
      </w:r>
      <w:r w:rsidR="00445E2E" w:rsidRPr="002425AA">
        <w:rPr>
          <w:sz w:val="24"/>
        </w:rPr>
        <w:t xml:space="preserve"> versé</w:t>
      </w:r>
      <w:r w:rsidR="00100627" w:rsidRPr="002425AA">
        <w:rPr>
          <w:sz w:val="24"/>
        </w:rPr>
        <w:t xml:space="preserve"> sur présentation de justificatif attestant de la dépense réalisée pour se restaurer. </w:t>
      </w:r>
    </w:p>
    <w:p w:rsidR="00894CAA" w:rsidRPr="002425AA" w:rsidRDefault="00100627" w:rsidP="00894CAA">
      <w:pPr>
        <w:jc w:val="both"/>
        <w:rPr>
          <w:sz w:val="24"/>
        </w:rPr>
      </w:pPr>
      <w:r w:rsidRPr="002425AA">
        <w:rPr>
          <w:sz w:val="24"/>
        </w:rPr>
        <w:t>Tou</w:t>
      </w:r>
      <w:r w:rsidR="00445E2E" w:rsidRPr="002425AA">
        <w:rPr>
          <w:sz w:val="24"/>
        </w:rPr>
        <w:t>t</w:t>
      </w:r>
      <w:r w:rsidRPr="002425AA">
        <w:rPr>
          <w:sz w:val="24"/>
        </w:rPr>
        <w:t>efois</w:t>
      </w:r>
      <w:r w:rsidR="00445E2E" w:rsidRPr="002425AA">
        <w:rPr>
          <w:sz w:val="24"/>
        </w:rPr>
        <w:t>,</w:t>
      </w:r>
      <w:r w:rsidRPr="002425AA">
        <w:rPr>
          <w:sz w:val="24"/>
        </w:rPr>
        <w:t xml:space="preserve"> en l’absence</w:t>
      </w:r>
      <w:r w:rsidR="00445E2E" w:rsidRPr="002425AA">
        <w:rPr>
          <w:sz w:val="24"/>
        </w:rPr>
        <w:t xml:space="preserve"> de justificatif</w:t>
      </w:r>
      <w:r w:rsidRPr="002425AA">
        <w:rPr>
          <w:sz w:val="24"/>
        </w:rPr>
        <w:t xml:space="preserve"> </w:t>
      </w:r>
      <w:r w:rsidR="00CD2775" w:rsidRPr="002425AA">
        <w:rPr>
          <w:sz w:val="24"/>
        </w:rPr>
        <w:t xml:space="preserve">2 MG </w:t>
      </w:r>
      <w:r w:rsidR="00445E2E" w:rsidRPr="002425AA">
        <w:rPr>
          <w:sz w:val="24"/>
        </w:rPr>
        <w:t>seront versés</w:t>
      </w:r>
      <w:r w:rsidR="00CD2775" w:rsidRPr="002425AA">
        <w:rPr>
          <w:sz w:val="24"/>
        </w:rPr>
        <w:t xml:space="preserve">. </w:t>
      </w:r>
    </w:p>
    <w:p w:rsidR="00501FC0" w:rsidRPr="002425AA" w:rsidRDefault="00E80BB8" w:rsidP="00894CAA">
      <w:pPr>
        <w:keepNext/>
        <w:keepLines/>
        <w:tabs>
          <w:tab w:val="left" w:pos="567"/>
        </w:tabs>
        <w:spacing w:after="0" w:line="240" w:lineRule="auto"/>
        <w:jc w:val="both"/>
        <w:outlineLvl w:val="2"/>
        <w:rPr>
          <w:rFonts w:ascii="Calibri" w:eastAsia="Times New Roman" w:hAnsi="Calibri" w:cs="Times New Roman"/>
          <w:b/>
          <w:color w:val="2F5496" w:themeColor="accent5" w:themeShade="BF"/>
          <w:sz w:val="24"/>
        </w:rPr>
      </w:pPr>
      <w:bookmarkStart w:id="8" w:name="_Toc481070309"/>
      <w:bookmarkStart w:id="9" w:name="_Toc514170192"/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>35.1</w:t>
      </w:r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ab/>
        <w:t xml:space="preserve">Le </w:t>
      </w:r>
      <w:bookmarkEnd w:id="8"/>
      <w:bookmarkEnd w:id="9"/>
      <w:r w:rsidR="00501FC0" w:rsidRPr="002425AA">
        <w:rPr>
          <w:b/>
          <w:color w:val="2F5496" w:themeColor="accent5" w:themeShade="BF"/>
          <w:sz w:val="24"/>
        </w:rPr>
        <w:t>Travail le samedi :</w:t>
      </w:r>
    </w:p>
    <w:p w:rsidR="00894CAA" w:rsidRPr="002425AA" w:rsidRDefault="00894CAA" w:rsidP="00894CAA">
      <w:pPr>
        <w:spacing w:after="0" w:line="240" w:lineRule="auto"/>
        <w:jc w:val="both"/>
        <w:rPr>
          <w:b/>
          <w:sz w:val="24"/>
        </w:rPr>
      </w:pPr>
    </w:p>
    <w:p w:rsidR="002425AA" w:rsidRPr="002425AA" w:rsidRDefault="002425AA" w:rsidP="00894CAA">
      <w:pPr>
        <w:spacing w:after="0" w:line="240" w:lineRule="auto"/>
        <w:jc w:val="both"/>
        <w:rPr>
          <w:sz w:val="24"/>
        </w:rPr>
      </w:pPr>
      <w:r w:rsidRPr="002425AA">
        <w:rPr>
          <w:sz w:val="24"/>
        </w:rPr>
        <w:t>Débat à poursuivre :</w:t>
      </w:r>
    </w:p>
    <w:p w:rsidR="00894CAA" w:rsidRPr="002425AA" w:rsidRDefault="00894CAA" w:rsidP="00894CAA">
      <w:pPr>
        <w:spacing w:after="0" w:line="240" w:lineRule="auto"/>
        <w:jc w:val="both"/>
        <w:rPr>
          <w:sz w:val="24"/>
        </w:rPr>
      </w:pPr>
      <w:r w:rsidRPr="002425AA">
        <w:rPr>
          <w:sz w:val="24"/>
        </w:rPr>
        <w:t>A</w:t>
      </w:r>
      <w:r w:rsidR="00E80BB8" w:rsidRPr="002425AA">
        <w:rPr>
          <w:sz w:val="24"/>
        </w:rPr>
        <w:t xml:space="preserve">pporter des précisions sur les </w:t>
      </w:r>
      <w:r w:rsidRPr="002425AA">
        <w:rPr>
          <w:sz w:val="24"/>
        </w:rPr>
        <w:t>« quelques</w:t>
      </w:r>
      <w:r w:rsidR="00E80BB8" w:rsidRPr="002425AA">
        <w:rPr>
          <w:sz w:val="24"/>
        </w:rPr>
        <w:t xml:space="preserve"> cas rares</w:t>
      </w:r>
      <w:r w:rsidR="00FA5FD0" w:rsidRPr="002425AA">
        <w:rPr>
          <w:sz w:val="24"/>
        </w:rPr>
        <w:t> </w:t>
      </w:r>
      <w:r w:rsidRPr="002425AA">
        <w:rPr>
          <w:sz w:val="24"/>
        </w:rPr>
        <w:t>» justifiant</w:t>
      </w:r>
      <w:r w:rsidR="00E80BB8" w:rsidRPr="002425AA">
        <w:rPr>
          <w:sz w:val="24"/>
        </w:rPr>
        <w:t xml:space="preserve"> </w:t>
      </w:r>
      <w:r w:rsidR="00FA5FD0" w:rsidRPr="002425AA">
        <w:rPr>
          <w:sz w:val="24"/>
        </w:rPr>
        <w:t>un taux horaire</w:t>
      </w:r>
      <w:r w:rsidR="00E80BB8" w:rsidRPr="002425AA">
        <w:rPr>
          <w:sz w:val="24"/>
        </w:rPr>
        <w:t xml:space="preserve"> major</w:t>
      </w:r>
      <w:r w:rsidR="00FA5FD0" w:rsidRPr="002425AA">
        <w:rPr>
          <w:sz w:val="24"/>
        </w:rPr>
        <w:t xml:space="preserve">é </w:t>
      </w:r>
      <w:r w:rsidR="00D23F3F" w:rsidRPr="002425AA">
        <w:rPr>
          <w:sz w:val="24"/>
        </w:rPr>
        <w:t xml:space="preserve">à </w:t>
      </w:r>
      <w:r w:rsidR="00501FC0" w:rsidRPr="002425AA">
        <w:rPr>
          <w:sz w:val="24"/>
        </w:rPr>
        <w:t>25%.</w:t>
      </w:r>
      <w:r w:rsidR="00FA5FD0" w:rsidRPr="002425AA">
        <w:rPr>
          <w:sz w:val="24"/>
        </w:rPr>
        <w:t xml:space="preserve"> </w:t>
      </w:r>
    </w:p>
    <w:p w:rsidR="00501FC0" w:rsidRPr="002425AA" w:rsidRDefault="00D23F3F" w:rsidP="00894CAA">
      <w:pPr>
        <w:spacing w:after="0" w:line="240" w:lineRule="auto"/>
        <w:jc w:val="both"/>
        <w:rPr>
          <w:sz w:val="24"/>
        </w:rPr>
      </w:pPr>
      <w:r w:rsidRPr="002425AA">
        <w:rPr>
          <w:sz w:val="24"/>
        </w:rPr>
        <w:t>Prendre appui sur le travail le dimanche en distinguant ce qui est du travail habituel et occasionnel.</w:t>
      </w:r>
    </w:p>
    <w:p w:rsidR="00E80BB8" w:rsidRPr="002425AA" w:rsidRDefault="00E80BB8" w:rsidP="00894CAA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color w:val="2F5496" w:themeColor="accent5" w:themeShade="BF"/>
          <w:sz w:val="24"/>
        </w:rPr>
      </w:pPr>
      <w:bookmarkStart w:id="10" w:name="_Toc514170212"/>
    </w:p>
    <w:p w:rsidR="00100627" w:rsidRPr="002425AA" w:rsidRDefault="00100627" w:rsidP="00894CAA">
      <w:pPr>
        <w:keepNext/>
        <w:keepLines/>
        <w:spacing w:after="0" w:line="240" w:lineRule="auto"/>
        <w:jc w:val="both"/>
        <w:outlineLvl w:val="1"/>
        <w:rPr>
          <w:rFonts w:ascii="Calibri" w:eastAsia="Times New Roman" w:hAnsi="Calibri" w:cs="Times New Roman"/>
          <w:b/>
          <w:color w:val="2F5496" w:themeColor="accent5" w:themeShade="BF"/>
          <w:sz w:val="24"/>
        </w:rPr>
      </w:pPr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>Article 44 – Variante 6 : forfait annuel en jours</w:t>
      </w:r>
      <w:bookmarkEnd w:id="10"/>
      <w:r w:rsidRPr="002425AA">
        <w:rPr>
          <w:rFonts w:ascii="Calibri" w:eastAsia="Times New Roman" w:hAnsi="Calibri" w:cs="Times New Roman"/>
          <w:b/>
          <w:color w:val="2F5496" w:themeColor="accent5" w:themeShade="BF"/>
          <w:sz w:val="24"/>
        </w:rPr>
        <w:t xml:space="preserve"> </w:t>
      </w:r>
    </w:p>
    <w:p w:rsidR="00100627" w:rsidRPr="002425AA" w:rsidRDefault="00100627" w:rsidP="00894CAA">
      <w:pPr>
        <w:spacing w:after="0" w:line="240" w:lineRule="auto"/>
        <w:jc w:val="both"/>
        <w:rPr>
          <w:b/>
          <w:sz w:val="24"/>
        </w:rPr>
      </w:pPr>
    </w:p>
    <w:p w:rsidR="00100627" w:rsidRPr="002425AA" w:rsidRDefault="00894CAA" w:rsidP="00894CAA">
      <w:pPr>
        <w:spacing w:after="0" w:line="240" w:lineRule="auto"/>
        <w:jc w:val="both"/>
        <w:rPr>
          <w:b/>
          <w:sz w:val="24"/>
        </w:rPr>
      </w:pPr>
      <w:r w:rsidRPr="002425AA">
        <w:rPr>
          <w:sz w:val="24"/>
        </w:rPr>
        <w:t>P</w:t>
      </w:r>
      <w:r w:rsidR="00100627" w:rsidRPr="002425AA">
        <w:rPr>
          <w:sz w:val="24"/>
        </w:rPr>
        <w:t xml:space="preserve">réciser que </w:t>
      </w:r>
      <w:r w:rsidR="00FA6883" w:rsidRPr="002425AA">
        <w:rPr>
          <w:sz w:val="24"/>
        </w:rPr>
        <w:t xml:space="preserve">les parties </w:t>
      </w:r>
      <w:r w:rsidR="00100627" w:rsidRPr="002425AA">
        <w:rPr>
          <w:sz w:val="24"/>
        </w:rPr>
        <w:t>peuvent</w:t>
      </w:r>
      <w:r w:rsidR="00FA6883" w:rsidRPr="002425AA">
        <w:rPr>
          <w:sz w:val="24"/>
        </w:rPr>
        <w:t>,</w:t>
      </w:r>
      <w:r w:rsidR="00100627" w:rsidRPr="002425AA">
        <w:rPr>
          <w:sz w:val="24"/>
        </w:rPr>
        <w:t xml:space="preserve"> </w:t>
      </w:r>
      <w:r w:rsidR="00FA6883" w:rsidRPr="002425AA">
        <w:rPr>
          <w:sz w:val="24"/>
        </w:rPr>
        <w:t xml:space="preserve">d’un commun accord, </w:t>
      </w:r>
      <w:r w:rsidR="00100627" w:rsidRPr="002425AA">
        <w:rPr>
          <w:sz w:val="24"/>
        </w:rPr>
        <w:t>revenir à une autre variante que le forfait jour.</w:t>
      </w:r>
    </w:p>
    <w:p w:rsidR="00501FC0" w:rsidRPr="002425AA" w:rsidRDefault="00501FC0" w:rsidP="00501FC0">
      <w:pPr>
        <w:rPr>
          <w:sz w:val="24"/>
        </w:rPr>
      </w:pPr>
    </w:p>
    <w:sectPr w:rsidR="00501FC0" w:rsidRPr="002425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6EA" w:rsidRDefault="004766EA" w:rsidP="00FA6883">
      <w:pPr>
        <w:spacing w:after="0" w:line="240" w:lineRule="auto"/>
      </w:pPr>
      <w:r>
        <w:separator/>
      </w:r>
    </w:p>
  </w:endnote>
  <w:endnote w:type="continuationSeparator" w:id="0">
    <w:p w:rsidR="004766EA" w:rsidRDefault="004766EA" w:rsidP="00FA6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6125865"/>
      <w:docPartObj>
        <w:docPartGallery w:val="Page Numbers (Bottom of Page)"/>
        <w:docPartUnique/>
      </w:docPartObj>
    </w:sdtPr>
    <w:sdtEndPr/>
    <w:sdtContent>
      <w:p w:rsidR="00FA6883" w:rsidRDefault="00FA688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5AA">
          <w:rPr>
            <w:noProof/>
          </w:rPr>
          <w:t>1</w:t>
        </w:r>
        <w:r>
          <w:fldChar w:fldCharType="end"/>
        </w:r>
      </w:p>
    </w:sdtContent>
  </w:sdt>
  <w:p w:rsidR="00FA6883" w:rsidRDefault="00FA68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6EA" w:rsidRDefault="004766EA" w:rsidP="00FA6883">
      <w:pPr>
        <w:spacing w:after="0" w:line="240" w:lineRule="auto"/>
      </w:pPr>
      <w:r>
        <w:separator/>
      </w:r>
    </w:p>
  </w:footnote>
  <w:footnote w:type="continuationSeparator" w:id="0">
    <w:p w:rsidR="004766EA" w:rsidRDefault="004766EA" w:rsidP="00FA6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531D7"/>
    <w:multiLevelType w:val="multilevel"/>
    <w:tmpl w:val="A782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91627E"/>
    <w:multiLevelType w:val="hybridMultilevel"/>
    <w:tmpl w:val="729079D8"/>
    <w:lvl w:ilvl="0" w:tplc="040C000B">
      <w:start w:val="1"/>
      <w:numFmt w:val="bullet"/>
      <w:lvlText w:val=""/>
      <w:lvlJc w:val="left"/>
      <w:pPr>
        <w:ind w:left="-66" w:hanging="360"/>
      </w:pPr>
      <w:rPr>
        <w:rFonts w:ascii="Wingdings" w:hAnsi="Wingding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" w15:restartNumberingAfterBreak="0">
    <w:nsid w:val="16CF2759"/>
    <w:multiLevelType w:val="hybridMultilevel"/>
    <w:tmpl w:val="8758D078"/>
    <w:lvl w:ilvl="0" w:tplc="23ACE4EA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2552AA4"/>
    <w:multiLevelType w:val="hybridMultilevel"/>
    <w:tmpl w:val="A194547C"/>
    <w:lvl w:ilvl="0" w:tplc="AD7610D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A4B7C"/>
    <w:multiLevelType w:val="hybridMultilevel"/>
    <w:tmpl w:val="A2425486"/>
    <w:lvl w:ilvl="0" w:tplc="91226B24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02362"/>
    <w:multiLevelType w:val="hybridMultilevel"/>
    <w:tmpl w:val="2C96E10A"/>
    <w:lvl w:ilvl="0" w:tplc="4A96B180">
      <w:start w:val="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B52BF1"/>
    <w:multiLevelType w:val="hybridMultilevel"/>
    <w:tmpl w:val="412E08B8"/>
    <w:lvl w:ilvl="0" w:tplc="8FBCBF6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87336"/>
    <w:multiLevelType w:val="multilevel"/>
    <w:tmpl w:val="4FE09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AF71D7"/>
    <w:multiLevelType w:val="hybridMultilevel"/>
    <w:tmpl w:val="42C4E014"/>
    <w:lvl w:ilvl="0" w:tplc="2898A74A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FC0"/>
    <w:rsid w:val="00100627"/>
    <w:rsid w:val="00156F91"/>
    <w:rsid w:val="002425AA"/>
    <w:rsid w:val="00376EDB"/>
    <w:rsid w:val="00445E2E"/>
    <w:rsid w:val="004766EA"/>
    <w:rsid w:val="004A24F2"/>
    <w:rsid w:val="00501FC0"/>
    <w:rsid w:val="00860D81"/>
    <w:rsid w:val="00894CAA"/>
    <w:rsid w:val="00991833"/>
    <w:rsid w:val="009B1F35"/>
    <w:rsid w:val="00A204E5"/>
    <w:rsid w:val="00C9734F"/>
    <w:rsid w:val="00CD2775"/>
    <w:rsid w:val="00CE051E"/>
    <w:rsid w:val="00D12DB8"/>
    <w:rsid w:val="00D23F3F"/>
    <w:rsid w:val="00D3782E"/>
    <w:rsid w:val="00D476FF"/>
    <w:rsid w:val="00DD3324"/>
    <w:rsid w:val="00DE55BF"/>
    <w:rsid w:val="00E74F80"/>
    <w:rsid w:val="00E80BB8"/>
    <w:rsid w:val="00EC2145"/>
    <w:rsid w:val="00EE1917"/>
    <w:rsid w:val="00EF588B"/>
    <w:rsid w:val="00F23040"/>
    <w:rsid w:val="00F62739"/>
    <w:rsid w:val="00F65CE6"/>
    <w:rsid w:val="00FA5FD0"/>
    <w:rsid w:val="00FA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ACB0"/>
  <w15:chartTrackingRefBased/>
  <w15:docId w15:val="{FA22124A-C51C-4E61-AABB-6B6FFE28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F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1FC0"/>
    <w:pPr>
      <w:ind w:left="720"/>
      <w:contextualSpacing/>
    </w:pPr>
  </w:style>
  <w:style w:type="table" w:styleId="Grilledutableau">
    <w:name w:val="Table Grid"/>
    <w:basedOn w:val="TableauNormal"/>
    <w:uiPriority w:val="39"/>
    <w:rsid w:val="0050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A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883"/>
  </w:style>
  <w:style w:type="paragraph" w:styleId="Pieddepage">
    <w:name w:val="footer"/>
    <w:basedOn w:val="Normal"/>
    <w:link w:val="PieddepageCar"/>
    <w:uiPriority w:val="99"/>
    <w:unhideWhenUsed/>
    <w:rsid w:val="00FA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8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National des Forêts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DOLLET-BAILLY Aude</dc:creator>
  <cp:keywords/>
  <dc:description/>
  <cp:lastModifiedBy>FERRERES Eric Chef de département RSJRH</cp:lastModifiedBy>
  <cp:revision>3</cp:revision>
  <dcterms:created xsi:type="dcterms:W3CDTF">2019-06-14T15:17:00Z</dcterms:created>
  <dcterms:modified xsi:type="dcterms:W3CDTF">2019-06-14T15:21:00Z</dcterms:modified>
</cp:coreProperties>
</file>